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Credit Default Swap</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Introduction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Credit default swap can be described as the financial</w:t>
      </w:r>
      <w:r>
        <w:rPr>
          <w:rFonts w:ascii="Times New Roman" w:cs="Times New Roman" w:hAnsi="Times New Roman"/>
          <w:sz w:val="24"/>
          <w:szCs w:val="24"/>
        </w:rPr>
        <w:t xml:space="preserve"> agreement with which an individual or business entity attempts to mitigate the possibility ass</w:t>
      </w:r>
      <w:r>
        <w:rPr>
          <w:rFonts w:ascii="Times New Roman" w:cs="Times New Roman" w:hAnsi="Times New Roman"/>
          <w:sz w:val="24"/>
          <w:szCs w:val="24"/>
        </w:rPr>
        <w:t xml:space="preserve">ociated with the risk of loss that </w:t>
      </w:r>
      <w:r>
        <w:rPr>
          <w:rFonts w:ascii="Times New Roman" w:cs="Times New Roman" w:hAnsi="Times New Roman"/>
          <w:sz w:val="24"/>
          <w:szCs w:val="24"/>
        </w:rPr>
        <w:t>might</w:t>
      </w:r>
      <w:r>
        <w:rPr>
          <w:rFonts w:ascii="Times New Roman" w:cs="Times New Roman" w:hAnsi="Times New Roman"/>
          <w:sz w:val="24"/>
          <w:szCs w:val="24"/>
        </w:rPr>
        <w:t xml:space="preserve"> arise from default by the issuer of a respective bond. </w:t>
      </w:r>
      <w:r>
        <w:rPr>
          <w:rFonts w:ascii="Times New Roman" w:cs="Times New Roman" w:hAnsi="Times New Roman"/>
          <w:sz w:val="24"/>
          <w:szCs w:val="24"/>
        </w:rPr>
        <w:t>Precisely, this factor is achieved through the act of insuring the potential of the bonds buyer drafted in a written agreement.</w:t>
      </w:r>
      <w:r>
        <w:rPr>
          <w:rFonts w:ascii="Times New Roman" w:cs="Times New Roman" w:hAnsi="Times New Roman"/>
          <w:sz w:val="24"/>
          <w:szCs w:val="24"/>
        </w:rPr>
        <w:t xml:space="preserve"> According to the information contained in the article of</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Richard Ivey 2020)</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there are three main provisions which take place in case a default takes place. </w:t>
      </w:r>
      <w:r>
        <w:rPr>
          <w:rFonts w:ascii="Times New Roman" w:cs="Times New Roman" w:hAnsi="Times New Roman"/>
          <w:sz w:val="24"/>
          <w:szCs w:val="24"/>
        </w:rPr>
        <w:t xml:space="preserve">Physical settlement is the first mechanism which can be undertaken when default takes place. The buyer is expected to surrender </w:t>
      </w:r>
      <w:r>
        <w:rPr>
          <w:rFonts w:ascii="Times New Roman" w:cs="Times New Roman" w:hAnsi="Times New Roman"/>
          <w:sz w:val="24"/>
          <w:szCs w:val="24"/>
        </w:rPr>
        <w:t>the assets in query to the seller as a measure of recovering the full face value of the asset.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Consequently,</w:t>
      </w:r>
      <w:r>
        <w:rPr>
          <w:rFonts w:ascii="Times New Roman" w:cs="Times New Roman" w:hAnsi="Times New Roman"/>
          <w:sz w:val="24"/>
          <w:szCs w:val="24"/>
        </w:rPr>
        <w:t xml:space="preserve"> cash settlement is the other significant measure which can take place in cases where the buyer defaults payment to the respective seller. Fixed value settlement is the other significant instance which can take place when buyers default payment. </w:t>
      </w:r>
      <w:r>
        <w:rPr>
          <w:rFonts w:ascii="Times New Roman" w:cs="Times New Roman" w:hAnsi="Times New Roman"/>
          <w:sz w:val="24"/>
          <w:szCs w:val="24"/>
        </w:rPr>
        <w:t xml:space="preserve">This measure is based on fixed value settlement where the buyer and seller agree on fixed value settlement based on proportion of investment estimated in percentage.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There are three significant types of credit default swap as presented by </w:t>
      </w:r>
      <w:r>
        <w:rPr>
          <w:rFonts w:ascii="Times New Roman" w:cs="Times New Roman" w:hAnsi="Times New Roman"/>
          <w:sz w:val="24"/>
          <w:szCs w:val="24"/>
        </w:rPr>
        <w:t>(Richard Ivey 2020)</w:t>
      </w:r>
      <w:r>
        <w:rPr>
          <w:rFonts w:ascii="Times New Roman" w:cs="Times New Roman" w:hAnsi="Times New Roman"/>
          <w:sz w:val="24"/>
          <w:szCs w:val="24"/>
        </w:rPr>
        <w:t xml:space="preserve">. </w:t>
      </w:r>
      <w:r>
        <w:rPr>
          <w:rFonts w:ascii="Times New Roman" w:cs="Times New Roman" w:hAnsi="Times New Roman"/>
          <w:sz w:val="24"/>
          <w:szCs w:val="24"/>
        </w:rPr>
        <w:t>Single named credit</w:t>
      </w:r>
      <w:r>
        <w:rPr>
          <w:rFonts w:ascii="Times New Roman" w:cs="Times New Roman" w:hAnsi="Times New Roman"/>
          <w:sz w:val="24"/>
          <w:szCs w:val="24"/>
        </w:rPr>
        <w:t xml:space="preserve"> </w:t>
      </w:r>
      <w:r>
        <w:rPr>
          <w:rFonts w:ascii="Times New Roman" w:cs="Times New Roman" w:hAnsi="Times New Roman"/>
          <w:sz w:val="24"/>
          <w:szCs w:val="24"/>
        </w:rPr>
        <w:t xml:space="preserve">default swap, basket credit default swap and the Credit default swap indices are the basic forms of credit swap traded in the market. </w:t>
      </w:r>
      <w:r>
        <w:rPr>
          <w:rFonts w:ascii="Times New Roman" w:cs="Times New Roman" w:hAnsi="Times New Roman"/>
          <w:sz w:val="24"/>
          <w:szCs w:val="24"/>
        </w:rPr>
        <w:t xml:space="preserve">Single name credit default swap provides the buyer with insurance against credit events which involve a business entity or state. </w:t>
      </w:r>
      <w:r>
        <w:rPr>
          <w:rFonts w:ascii="Times New Roman" w:cs="Times New Roman" w:hAnsi="Times New Roman"/>
          <w:sz w:val="24"/>
          <w:szCs w:val="24"/>
        </w:rPr>
        <w:t xml:space="preserve">Basket credit default swap can be described as the default plan which involves entities grouped together in what is predominantly known as basket whilst credit default indices can be described as the default mechanism that consist of firms index for different markets. </w:t>
      </w:r>
    </w:p>
    <w:p>
      <w:pPr>
        <w:pStyle w:val="style0"/>
        <w:spacing w:lineRule="auto" w:line="480"/>
        <w:ind w:firstLine="720"/>
        <w:rPr>
          <w:rFonts w:ascii="Times New Roman" w:cs="Times New Roman" w:eastAsia="Times New Roman" w:hAnsi="Times New Roman"/>
          <w:bCs/>
          <w:sz w:val="24"/>
          <w:szCs w:val="24"/>
          <w:bdr w:val="none" w:sz="0" w:space="0" w:color="auto" w:frame="true"/>
        </w:rPr>
      </w:pPr>
    </w:p>
    <w:p>
      <w:pPr>
        <w:pStyle w:val="style0"/>
        <w:spacing w:lineRule="auto" w:line="480"/>
        <w:ind w:firstLine="720"/>
        <w:jc w:val="center"/>
        <w:rPr>
          <w:rFonts w:ascii="Times New Roman" w:cs="Times New Roman" w:eastAsia="Times New Roman" w:hAnsi="Times New Roman"/>
          <w:bCs/>
          <w:sz w:val="24"/>
          <w:szCs w:val="24"/>
          <w:u w:val="single"/>
          <w:bdr w:val="none" w:sz="0" w:space="0" w:color="auto" w:frame="true"/>
        </w:rPr>
      </w:pPr>
      <w:r>
        <w:rPr>
          <w:rFonts w:ascii="Times New Roman" w:cs="Times New Roman" w:eastAsia="Times New Roman" w:hAnsi="Times New Roman"/>
          <w:bCs/>
          <w:sz w:val="24"/>
          <w:szCs w:val="24"/>
          <w:u w:val="single"/>
          <w:bdr w:val="none" w:sz="0" w:space="0" w:color="auto" w:frame="true"/>
        </w:rPr>
        <w:t>Case study</w:t>
      </w:r>
    </w:p>
    <w:p>
      <w:pPr>
        <w:pStyle w:val="style0"/>
        <w:spacing w:lineRule="auto" w:line="480"/>
        <w:rPr>
          <w:rFonts w:ascii="Times New Roman" w:cs="Times New Roman" w:eastAsia="Times New Roman" w:hAnsi="Times New Roman"/>
          <w:bCs/>
          <w:sz w:val="24"/>
          <w:szCs w:val="24"/>
          <w:bdr w:val="none" w:sz="0" w:space="0" w:color="auto" w:frame="true"/>
        </w:rPr>
      </w:pPr>
      <w:r>
        <w:rPr>
          <w:rFonts w:ascii="Times New Roman" w:cs="Times New Roman" w:eastAsia="Times New Roman" w:hAnsi="Times New Roman"/>
          <w:bCs/>
          <w:sz w:val="24"/>
          <w:szCs w:val="24"/>
          <w:bdr w:val="none" w:sz="0" w:space="0" w:color="auto" w:frame="true"/>
        </w:rPr>
        <w:t xml:space="preserve">Part A: </w:t>
      </w:r>
      <w:r>
        <w:rPr>
          <w:rFonts w:ascii="Times New Roman" w:cs="Times New Roman" w:eastAsia="Times New Roman" w:hAnsi="Times New Roman"/>
          <w:bCs/>
          <w:sz w:val="24"/>
          <w:szCs w:val="24"/>
          <w:bdr w:val="none" w:sz="0" w:space="0" w:color="auto" w:frame="true"/>
        </w:rPr>
        <w:t xml:space="preserve">If </w:t>
      </w:r>
      <w:r>
        <w:rPr>
          <w:rFonts w:ascii="Times New Roman" w:cs="Times New Roman" w:eastAsia="Times New Roman" w:hAnsi="Times New Roman"/>
          <w:bCs/>
          <w:sz w:val="24"/>
          <w:szCs w:val="24"/>
          <w:bdr w:val="none" w:sz="0" w:space="0" w:color="auto" w:frame="true"/>
        </w:rPr>
        <w:t>Phanta</w:t>
      </w:r>
      <w:r>
        <w:rPr>
          <w:rFonts w:ascii="Times New Roman" w:cs="Times New Roman" w:eastAsia="Times New Roman" w:hAnsi="Times New Roman"/>
          <w:bCs/>
          <w:sz w:val="24"/>
          <w:szCs w:val="24"/>
          <w:bdr w:val="none" w:sz="0" w:space="0" w:color="auto" w:frame="true"/>
        </w:rPr>
        <w:t> defaults in standard CDS</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If 100% = 30M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30% </w:t>
      </w:r>
      <w:r>
        <w:rPr>
          <w:rFonts w:ascii="Times New Roman" w:cs="Times New Roman" w:hAnsi="Times New Roman"/>
          <w:sz w:val="24"/>
          <w:szCs w:val="24"/>
        </w:rPr>
        <w:t>=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u w:val="single"/>
        </w:rPr>
      </w:pPr>
      <w:r>
        <w:rPr>
          <w:rFonts w:ascii="Times New Roman" w:cs="Times New Roman" w:hAnsi="Times New Roman"/>
          <w:sz w:val="24"/>
          <w:szCs w:val="24"/>
          <w:u w:val="single"/>
        </w:rPr>
        <w:t>= 9M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investor gets 9M</w:t>
      </w:r>
      <w:r>
        <w:rPr>
          <w:rFonts w:ascii="Times New Roman" w:cs="Times New Roman" w:hAnsi="Times New Roman"/>
          <w:sz w:val="24"/>
          <w:szCs w:val="24"/>
        </w:rPr>
        <w:t xml:space="preserve"> </w:t>
      </w:r>
    </w:p>
    <w:p>
      <w:pPr>
        <w:pStyle w:val="style0"/>
        <w:shd w:val="clear" w:color="auto" w:fill="f4f4f4"/>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bCs/>
          <w:sz w:val="24"/>
          <w:szCs w:val="24"/>
          <w:bdr w:val="none" w:sz="0" w:space="0" w:color="auto" w:frame="true"/>
        </w:rPr>
        <w:t>Part B</w:t>
      </w:r>
      <w:r>
        <w:rPr>
          <w:rFonts w:ascii="Times New Roman" w:cs="Times New Roman" w:eastAsia="Times New Roman" w:hAnsi="Times New Roman"/>
          <w:bCs/>
          <w:sz w:val="24"/>
          <w:szCs w:val="24"/>
          <w:bdr w:val="none" w:sz="0" w:space="0" w:color="auto" w:frame="true"/>
        </w:rPr>
        <w:t>:</w:t>
      </w:r>
      <w:r>
        <w:rPr>
          <w:rFonts w:ascii="Times New Roman" w:cs="Times New Roman" w:eastAsia="Times New Roman" w:hAnsi="Times New Roman"/>
          <w:bCs/>
          <w:sz w:val="24"/>
          <w:szCs w:val="24"/>
          <w:bdr w:val="none" w:sz="0" w:space="0" w:color="auto" w:frame="true"/>
        </w:rPr>
        <w:t xml:space="preserve"> </w:t>
      </w:r>
      <w:r>
        <w:rPr>
          <w:rFonts w:ascii="Times New Roman" w:cs="Times New Roman" w:eastAsia="Times New Roman" w:hAnsi="Times New Roman"/>
          <w:bCs/>
          <w:sz w:val="24"/>
          <w:szCs w:val="24"/>
          <w:bdr w:val="none" w:sz="0" w:space="0" w:color="auto" w:frame="true"/>
        </w:rPr>
        <w:t>Phanta</w:t>
      </w:r>
      <w:r>
        <w:rPr>
          <w:rFonts w:ascii="Times New Roman" w:cs="Times New Roman" w:eastAsia="Times New Roman" w:hAnsi="Times New Roman"/>
          <w:bCs/>
          <w:sz w:val="24"/>
          <w:szCs w:val="24"/>
          <w:bdr w:val="none" w:sz="0" w:space="0" w:color="auto" w:frame="true"/>
        </w:rPr>
        <w:t> defaults in first to default basket</w:t>
      </w:r>
    </w:p>
    <w:p>
      <w:pPr>
        <w:pStyle w:val="style0"/>
        <w:spacing w:lineRule="auto" w:line="480"/>
        <w:rPr>
          <w:rFonts w:ascii="Times New Roman" w:cs="Times New Roman" w:eastAsia="Times New Roman" w:hAnsi="Times New Roman"/>
          <w:bCs/>
          <w:sz w:val="24"/>
          <w:szCs w:val="24"/>
          <w:bdr w:val="none" w:sz="0" w:space="0" w:color="auto" w:frame="true"/>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If 100% = 21M (30-9)</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30% </w:t>
      </w:r>
      <w:r>
        <w:rPr>
          <w:rFonts w:ascii="Times New Roman" w:cs="Times New Roman" w:hAnsi="Times New Roman"/>
          <w:sz w:val="24"/>
          <w:szCs w:val="24"/>
        </w:rPr>
        <w:t>= ?</w:t>
      </w:r>
    </w:p>
    <w:p>
      <w:pPr>
        <w:pStyle w:val="style0"/>
        <w:spacing w:lineRule="auto" w:line="480"/>
        <w:rPr>
          <w:rFonts w:ascii="Times New Roman" w:cs="Times New Roman" w:hAnsi="Times New Roman"/>
          <w:sz w:val="24"/>
          <w:szCs w:val="24"/>
          <w:u w:val="single"/>
        </w:rPr>
      </w:pPr>
      <w:r>
        <w:rPr>
          <w:rFonts w:ascii="Times New Roman" w:cs="Times New Roman" w:hAnsi="Times New Roman"/>
          <w:sz w:val="24"/>
          <w:szCs w:val="24"/>
          <w:u w:val="single"/>
        </w:rPr>
        <w:t xml:space="preserve">= 6.3M </w:t>
      </w:r>
    </w:p>
    <w:p>
      <w:pPr>
        <w:pStyle w:val="style0"/>
        <w:spacing w:lineRule="auto" w:line="480"/>
        <w:rPr>
          <w:rFonts w:ascii="Times New Roman" w:cs="Times New Roman" w:eastAsia="Times New Roman" w:hAnsi="Times New Roman"/>
          <w:bCs/>
          <w:sz w:val="24"/>
          <w:szCs w:val="24"/>
          <w:bdr w:val="none" w:sz="0" w:space="0" w:color="auto" w:frame="true"/>
        </w:rPr>
      </w:pPr>
      <w:r>
        <w:rPr>
          <w:rFonts w:ascii="Times New Roman" w:cs="Times New Roman" w:eastAsia="Times New Roman" w:hAnsi="Times New Roman"/>
          <w:bCs/>
          <w:sz w:val="24"/>
          <w:szCs w:val="24"/>
          <w:bdr w:val="none" w:sz="0" w:space="0" w:color="auto" w:frame="true"/>
        </w:rPr>
        <w:t>Part C</w:t>
      </w:r>
      <w:r>
        <w:rPr>
          <w:rFonts w:ascii="Times New Roman" w:cs="Times New Roman" w:eastAsia="Times New Roman" w:hAnsi="Times New Roman"/>
          <w:bCs/>
          <w:sz w:val="24"/>
          <w:szCs w:val="24"/>
          <w:bdr w:val="none" w:sz="0" w:space="0" w:color="auto" w:frame="true"/>
        </w:rPr>
        <w:t xml:space="preserve">: </w:t>
      </w:r>
      <w:r>
        <w:rPr>
          <w:rFonts w:ascii="Times New Roman" w:cs="Times New Roman" w:eastAsia="Times New Roman" w:hAnsi="Times New Roman"/>
          <w:bCs/>
          <w:sz w:val="24"/>
          <w:szCs w:val="24"/>
          <w:bdr w:val="none" w:sz="0" w:space="0" w:color="auto" w:frame="true"/>
        </w:rPr>
        <w:t>Koka</w:t>
      </w:r>
      <w:r>
        <w:rPr>
          <w:rFonts w:ascii="Times New Roman" w:cs="Times New Roman" w:eastAsia="Times New Roman" w:hAnsi="Times New Roman"/>
          <w:bCs/>
          <w:sz w:val="24"/>
          <w:szCs w:val="24"/>
          <w:bdr w:val="none" w:sz="0" w:space="0" w:color="auto" w:frame="true"/>
        </w:rPr>
        <w:t xml:space="preserve"> defaults then </w:t>
      </w:r>
      <w:r>
        <w:rPr>
          <w:rFonts w:ascii="Times New Roman" w:cs="Times New Roman" w:eastAsia="Times New Roman" w:hAnsi="Times New Roman"/>
          <w:bCs/>
          <w:sz w:val="24"/>
          <w:szCs w:val="24"/>
          <w:bdr w:val="none" w:sz="0" w:space="0" w:color="auto" w:frame="true"/>
        </w:rPr>
        <w:t>Phanta</w:t>
      </w:r>
      <w:r>
        <w:rPr>
          <w:rFonts w:ascii="Times New Roman" w:cs="Times New Roman" w:eastAsia="Times New Roman" w:hAnsi="Times New Roman"/>
          <w:bCs/>
          <w:sz w:val="24"/>
          <w:szCs w:val="24"/>
          <w:bdr w:val="none" w:sz="0" w:space="0" w:color="auto" w:frame="true"/>
        </w:rPr>
        <w:t xml:space="preserve"> in a </w:t>
      </w:r>
      <w:r>
        <w:rPr>
          <w:rFonts w:ascii="Times New Roman" w:cs="Times New Roman" w:eastAsia="Times New Roman" w:hAnsi="Times New Roman"/>
          <w:bCs/>
          <w:sz w:val="24"/>
          <w:szCs w:val="24"/>
          <w:bdr w:val="none" w:sz="0" w:space="0" w:color="auto" w:frame="true"/>
          <w:shd w:val="clear" w:color="auto" w:fill="ffffff"/>
        </w:rPr>
        <w:t>first to default basket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If 100% = 30M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(40%+ 30%</w:t>
      </w:r>
      <w:r>
        <w:rPr>
          <w:rFonts w:ascii="Times New Roman" w:cs="Times New Roman" w:hAnsi="Times New Roman"/>
          <w:sz w:val="24"/>
          <w:szCs w:val="24"/>
        </w:rPr>
        <w:t>)</w:t>
      </w:r>
      <w:r>
        <w:rPr>
          <w:rFonts w:ascii="Times New Roman" w:cs="Times New Roman" w:hAnsi="Times New Roman"/>
          <w:sz w:val="24"/>
          <w:szCs w:val="24"/>
        </w:rPr>
        <w:t>70</w:t>
      </w:r>
      <w:r>
        <w:rPr>
          <w:rFonts w:ascii="Times New Roman" w:cs="Times New Roman" w:hAnsi="Times New Roman"/>
          <w:sz w:val="24"/>
          <w:szCs w:val="24"/>
        </w:rPr>
        <w:t xml:space="preserve">% = ?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21M</w:t>
      </w:r>
    </w:p>
    <w:p>
      <w:pPr>
        <w:pStyle w:val="style0"/>
        <w:shd w:val="clear" w:color="auto" w:fill="f4f4f4"/>
        <w:spacing w:after="0" w:lineRule="auto" w:line="480"/>
        <w:rPr>
          <w:rFonts w:ascii="Times New Roman" w:cs="Times New Roman" w:eastAsia="Times New Roman" w:hAnsi="Times New Roman"/>
          <w:bCs/>
          <w:sz w:val="24"/>
          <w:szCs w:val="24"/>
          <w:bdr w:val="none" w:sz="0" w:space="0" w:color="auto" w:frame="true"/>
          <w:shd w:val="clear" w:color="auto" w:fill="ffffff"/>
        </w:rPr>
      </w:pPr>
      <w:r>
        <w:rPr>
          <w:rFonts w:ascii="Times New Roman" w:cs="Times New Roman" w:eastAsia="Times New Roman" w:hAnsi="Times New Roman"/>
          <w:bCs/>
          <w:sz w:val="24"/>
          <w:szCs w:val="24"/>
          <w:bdr w:val="none" w:sz="0" w:space="0" w:color="auto" w:frame="true"/>
        </w:rPr>
        <w:t>Part D:</w:t>
      </w:r>
      <w:r>
        <w:rPr>
          <w:rFonts w:ascii="Times New Roman" w:cs="Times New Roman" w:eastAsia="Times New Roman" w:hAnsi="Times New Roman"/>
          <w:bCs/>
          <w:sz w:val="24"/>
          <w:szCs w:val="24"/>
          <w:bdr w:val="none" w:sz="0" w:space="0" w:color="auto" w:frame="true"/>
        </w:rPr>
        <w:t xml:space="preserve"> </w:t>
      </w:r>
      <w:r>
        <w:rPr>
          <w:rFonts w:ascii="Times New Roman" w:cs="Times New Roman" w:eastAsia="Times New Roman" w:hAnsi="Times New Roman"/>
          <w:bCs/>
          <w:sz w:val="24"/>
          <w:szCs w:val="24"/>
          <w:bdr w:val="none" w:sz="0" w:space="0" w:color="auto" w:frame="true"/>
          <w:shd w:val="clear" w:color="auto" w:fill="ffffff"/>
        </w:rPr>
        <w:t>ZZpriteh</w:t>
      </w:r>
      <w:r>
        <w:rPr>
          <w:rFonts w:ascii="Times New Roman" w:cs="Times New Roman" w:eastAsia="Times New Roman" w:hAnsi="Times New Roman"/>
          <w:bCs/>
          <w:sz w:val="24"/>
          <w:szCs w:val="24"/>
          <w:bdr w:val="none" w:sz="0" w:space="0" w:color="auto" w:frame="true"/>
          <w:shd w:val="clear" w:color="auto" w:fill="ffffff"/>
        </w:rPr>
        <w:t> defaults in a senior basket with a $5m first loss limit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If 100% = 25</w:t>
      </w:r>
      <w:r>
        <w:rPr>
          <w:rFonts w:ascii="Times New Roman" w:cs="Times New Roman" w:hAnsi="Times New Roman"/>
          <w:sz w:val="24"/>
          <w:szCs w:val="24"/>
        </w:rPr>
        <w:t>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5</w:t>
      </w:r>
      <w:r>
        <w:rPr>
          <w:rFonts w:ascii="Times New Roman" w:cs="Times New Roman" w:hAnsi="Times New Roman"/>
          <w:sz w:val="24"/>
          <w:szCs w:val="24"/>
        </w:rPr>
        <w:t xml:space="preserve">0% </w:t>
      </w:r>
      <w:r>
        <w:rPr>
          <w:rFonts w:ascii="Times New Roman" w:cs="Times New Roman" w:hAnsi="Times New Roman"/>
          <w:sz w:val="24"/>
          <w:szCs w:val="24"/>
        </w:rPr>
        <w:t>=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u w:val="single"/>
        </w:rPr>
      </w:pPr>
      <w:r>
        <w:rPr>
          <w:rFonts w:ascii="Times New Roman" w:cs="Times New Roman" w:hAnsi="Times New Roman"/>
          <w:sz w:val="24"/>
          <w:szCs w:val="24"/>
          <w:u w:val="single"/>
        </w:rPr>
        <w:t>=</w:t>
      </w:r>
      <w:r>
        <w:rPr>
          <w:rFonts w:ascii="Times New Roman" w:cs="Times New Roman" w:hAnsi="Times New Roman"/>
          <w:sz w:val="24"/>
          <w:szCs w:val="24"/>
          <w:u w:val="single"/>
        </w:rPr>
        <w:t>12.5</w:t>
      </w:r>
      <w:r>
        <w:rPr>
          <w:rFonts w:ascii="Times New Roman" w:cs="Times New Roman" w:hAnsi="Times New Roman"/>
          <w:sz w:val="24"/>
          <w:szCs w:val="24"/>
          <w:u w:val="single"/>
        </w:rPr>
        <w:t>M</w:t>
      </w:r>
    </w:p>
    <w:p>
      <w:pPr>
        <w:pStyle w:val="style0"/>
        <w:shd w:val="clear" w:color="auto" w:fill="f4f4f4"/>
        <w:spacing w:after="0" w:lineRule="auto" w:line="240"/>
        <w:rPr>
          <w:rFonts w:ascii="Open Sans" w:cs="Open Sans" w:eastAsia="Times New Roman" w:hAnsi="Open Sans"/>
          <w:b/>
          <w:bCs/>
          <w:color w:val="339966"/>
          <w:sz w:val="20"/>
          <w:szCs w:val="20"/>
          <w:bdr w:val="none" w:sz="0" w:space="0" w:color="auto" w:frame="true"/>
          <w:shd w:val="clear" w:color="auto" w:fill="ffffff"/>
        </w:rPr>
      </w:pPr>
    </w:p>
    <w:p>
      <w:pPr>
        <w:pStyle w:val="style0"/>
        <w:shd w:val="clear" w:color="auto" w:fill="f4f4f4"/>
        <w:spacing w:after="0" w:lineRule="auto" w:line="240"/>
        <w:rPr>
          <w:rFonts w:ascii="inherit" w:cs="Open Sans" w:eastAsia="Times New Roman" w:hAnsi="inherit"/>
          <w:color w:val="000000"/>
          <w:sz w:val="20"/>
          <w:szCs w:val="20"/>
        </w:rPr>
      </w:pPr>
    </w:p>
    <w:p>
      <w:pPr>
        <w:pStyle w:val="style0"/>
        <w:shd w:val="clear" w:color="auto" w:fill="f4f4f4"/>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bCs/>
          <w:sz w:val="24"/>
          <w:szCs w:val="24"/>
          <w:bdr w:val="none" w:sz="0" w:space="0" w:color="auto" w:frame="true"/>
        </w:rPr>
        <w:t>Part E</w:t>
      </w:r>
      <w:r>
        <w:rPr>
          <w:rFonts w:ascii="Times New Roman" w:cs="Times New Roman" w:eastAsia="Times New Roman" w:hAnsi="Times New Roman"/>
          <w:bCs/>
          <w:sz w:val="24"/>
          <w:szCs w:val="24"/>
          <w:bdr w:val="none" w:sz="0" w:space="0" w:color="auto" w:frame="true"/>
        </w:rPr>
        <w:t xml:space="preserve">: </w:t>
      </w:r>
      <w:r>
        <w:rPr>
          <w:rFonts w:ascii="Times New Roman" w:cs="Times New Roman" w:eastAsia="Times New Roman" w:hAnsi="Times New Roman"/>
          <w:bCs/>
          <w:sz w:val="24"/>
          <w:szCs w:val="24"/>
          <w:bdr w:val="none" w:sz="0" w:space="0" w:color="auto" w:frame="true"/>
          <w:shd w:val="clear" w:color="auto" w:fill="ffffff"/>
        </w:rPr>
        <w:t>Koka</w:t>
      </w:r>
      <w:r>
        <w:rPr>
          <w:rFonts w:ascii="Times New Roman" w:cs="Times New Roman" w:eastAsia="Times New Roman" w:hAnsi="Times New Roman"/>
          <w:bCs/>
          <w:sz w:val="24"/>
          <w:szCs w:val="24"/>
          <w:bdr w:val="none" w:sz="0" w:space="0" w:color="auto" w:frame="true"/>
          <w:shd w:val="clear" w:color="auto" w:fill="ffffff"/>
        </w:rPr>
        <w:t xml:space="preserve"> defaults in a senior basket with a $5m first loss limit</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If 100% = 25</w:t>
      </w:r>
      <w:r>
        <w:rPr>
          <w:rFonts w:ascii="Times New Roman" w:cs="Times New Roman" w:hAnsi="Times New Roman"/>
          <w:sz w:val="24"/>
          <w:szCs w:val="24"/>
        </w:rPr>
        <w:t>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40</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 </w:t>
      </w:r>
    </w:p>
    <w:p>
      <w:pPr>
        <w:pStyle w:val="style0"/>
        <w:spacing w:lineRule="auto" w:line="480"/>
        <w:rPr>
          <w:rFonts w:ascii="Times New Roman" w:cs="Times New Roman" w:hAnsi="Times New Roman"/>
          <w:sz w:val="24"/>
          <w:szCs w:val="24"/>
          <w:u w:val="single"/>
        </w:rPr>
      </w:pPr>
      <w:r>
        <w:rPr>
          <w:rFonts w:ascii="Times New Roman" w:cs="Times New Roman" w:hAnsi="Times New Roman"/>
          <w:sz w:val="24"/>
          <w:szCs w:val="24"/>
          <w:u w:val="single"/>
        </w:rPr>
        <w:t>= 10</w:t>
      </w:r>
      <w:r>
        <w:rPr>
          <w:rFonts w:ascii="Times New Roman" w:cs="Times New Roman" w:hAnsi="Times New Roman"/>
          <w:sz w:val="24"/>
          <w:szCs w:val="24"/>
          <w:u w:val="single"/>
        </w:rPr>
        <w:t>M</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Conclusion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summary, </w:t>
      </w:r>
      <w:r>
        <w:rPr>
          <w:rFonts w:ascii="Times New Roman" w:cs="Times New Roman" w:hAnsi="Times New Roman"/>
          <w:sz w:val="24"/>
          <w:szCs w:val="24"/>
        </w:rPr>
        <w:t xml:space="preserve">the long-term perspective of credit default swap is based on taking the market to be based on exchanging goods and services </w:t>
      </w:r>
      <w:r>
        <w:rPr>
          <w:rFonts w:ascii="Times New Roman" w:cs="Times New Roman" w:hAnsi="Times New Roman"/>
          <w:sz w:val="24"/>
          <w:szCs w:val="24"/>
        </w:rPr>
        <w:t>enhancing</w:t>
      </w:r>
      <w:r>
        <w:rPr>
          <w:rFonts w:ascii="Times New Roman" w:cs="Times New Roman" w:hAnsi="Times New Roman"/>
          <w:sz w:val="24"/>
          <w:szCs w:val="24"/>
        </w:rPr>
        <w:t xml:space="preserve"> transparency</w:t>
      </w:r>
      <w:r>
        <w:rPr>
          <w:rFonts w:ascii="Times New Roman" w:cs="Times New Roman" w:hAnsi="Times New Roman"/>
          <w:sz w:val="24"/>
          <w:szCs w:val="24"/>
        </w:rPr>
        <w:t xml:space="preserve">. </w:t>
      </w:r>
      <w:r>
        <w:rPr>
          <w:rFonts w:ascii="Times New Roman" w:cs="Times New Roman" w:hAnsi="Times New Roman"/>
          <w:sz w:val="24"/>
          <w:szCs w:val="24"/>
        </w:rPr>
        <w:t>Relevant market predictions on short and long run bases hence need to be conducted at different targeted levels of ending inventory so as to provide a wide range of decision pentagram through w</w:t>
      </w:r>
      <w:r>
        <w:rPr>
          <w:rFonts w:ascii="Times New Roman" w:cs="Times New Roman" w:hAnsi="Times New Roman"/>
          <w:sz w:val="24"/>
          <w:szCs w:val="24"/>
        </w:rPr>
        <w:t xml:space="preserve">hich operational guidelines could be </w:t>
      </w:r>
      <w:r>
        <w:rPr>
          <w:rFonts w:ascii="Times New Roman" w:cs="Times New Roman" w:hAnsi="Times New Roman"/>
          <w:sz w:val="24"/>
          <w:szCs w:val="24"/>
        </w:rPr>
        <w:t>formulated</w:t>
      </w:r>
      <w:r>
        <w:rPr>
          <w:rFonts w:ascii="Times New Roman" w:cs="Times New Roman" w:hAnsi="Times New Roman"/>
          <w:sz w:val="24"/>
          <w:szCs w:val="24"/>
        </w:rPr>
        <w:t xml:space="preserve"> based on credit default swap</w:t>
      </w:r>
      <w:r>
        <w:rPr>
          <w:rFonts w:ascii="Times New Roman" w:cs="Times New Roman" w:hAnsi="Times New Roman"/>
          <w:sz w:val="24"/>
          <w:szCs w:val="24"/>
        </w:rPr>
        <w:t>.</w:t>
      </w:r>
      <w:r>
        <w:rPr>
          <w:rFonts w:ascii="Times New Roman" w:cs="Times New Roman" w:hAnsi="Times New Roman"/>
          <w:sz w:val="24"/>
          <w:szCs w:val="24"/>
        </w:rPr>
        <w:t xml:space="preserve"> </w:t>
      </w:r>
      <w:bookmarkStart w:id="0" w:name="_GoBack"/>
      <w:bookmarkEnd w:id="0"/>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p>
    <w:p>
      <w:pPr>
        <w:pStyle w:val="style0"/>
        <w:spacing w:lineRule="auto" w:line="480"/>
        <w:rPr>
          <w:rFonts w:ascii="Times New Roman" w:cs="Times New Roman" w:eastAsia="Times New Roman" w:hAnsi="Times New Roman"/>
          <w:bCs/>
          <w:sz w:val="24"/>
          <w:szCs w:val="24"/>
          <w:bdr w:val="none" w:sz="0" w:space="0" w:color="auto" w:frame="true"/>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Reference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Richard Ivey (2020). Introduction to credit default swaps. </w:t>
      </w:r>
      <w:r>
        <w:rPr>
          <w:rFonts w:ascii="Times New Roman" w:cs="Times New Roman" w:hAnsi="Times New Roman"/>
          <w:i/>
          <w:sz w:val="24"/>
          <w:szCs w:val="24"/>
        </w:rPr>
        <w:t>Retrieved on 13</w:t>
      </w:r>
      <w:r>
        <w:rPr>
          <w:rFonts w:ascii="Times New Roman" w:cs="Times New Roman" w:hAnsi="Times New Roman"/>
          <w:i/>
          <w:sz w:val="24"/>
          <w:szCs w:val="24"/>
          <w:vertAlign w:val="superscript"/>
        </w:rPr>
        <w:t>th</w:t>
      </w:r>
      <w:r>
        <w:rPr>
          <w:rFonts w:ascii="Times New Roman" w:cs="Times New Roman" w:hAnsi="Times New Roman"/>
          <w:i/>
          <w:sz w:val="24"/>
          <w:szCs w:val="24"/>
        </w:rPr>
        <w:t xml:space="preserve"> Nov 2020 from</w:t>
      </w:r>
      <w:r>
        <w:rPr>
          <w:rFonts w:ascii="Times New Roman" w:cs="Times New Roman" w:hAnsi="Times New Roman"/>
          <w:sz w:val="24"/>
          <w:szCs w:val="24"/>
        </w:rPr>
        <w:t xml:space="preserve"> </w:t>
      </w:r>
      <w:r>
        <w:rPr>
          <w:rFonts w:ascii="Times New Roman" w:cs="Times New Roman" w:hAnsi="Times New Roman"/>
          <w:sz w:val="24"/>
          <w:szCs w:val="24"/>
        </w:rPr>
        <w:t>Introduction%20to%20credit%20default%20swaps%20case.pdf</w:t>
      </w:r>
      <w:r>
        <w:rPr>
          <w:rFonts w:ascii="Times New Roman" w:cs="Times New Roman" w:hAnsi="Times New Roman"/>
          <w:sz w:val="24"/>
          <w:szCs w:val="24"/>
        </w:rPr>
        <w:t xml:space="prese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Open Sans">
    <w:altName w:val="Tahoma"/>
    <w:panose1 w:val="00000000000000000000"/>
    <w:charset w:val="00"/>
    <w:family w:val="swiss"/>
    <w:pitch w:val="variable"/>
    <w:sig w:usb0="00000001" w:usb1="4000205B" w:usb2="00000028" w:usb3="00000000" w:csb0="0000019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9F2244B0"/>
    <w:lvl w:ilvl="0">
      <w:start w:val="1"/>
      <w:numFmt w:val="decimal"/>
      <w:lvlText w:val="%1."/>
      <w:lvlJc w:val="left"/>
      <w:pPr>
        <w:tabs>
          <w:tab w:val="left" w:leader="none" w:pos="720"/>
        </w:tabs>
        <w:ind w:left="720" w:hanging="360"/>
      </w:pPr>
    </w:lvl>
    <w:lvl w:ilvl="1">
      <w:start w:val="1"/>
      <w:numFmt w:val="decimal"/>
      <w:lvlText w:val="%2."/>
      <w:lvlJc w:val="left"/>
      <w:pPr>
        <w:tabs>
          <w:tab w:val="left" w:leader="none" w:pos="1440"/>
        </w:tabs>
        <w:ind w:left="1440" w:hanging="360"/>
      </w:pPr>
    </w:lvl>
    <w:lvl w:ilvl="2">
      <w:start w:val="1"/>
      <w:numFmt w:val="decimal"/>
      <w:lvlText w:val="%3."/>
      <w:lvlJc w:val="left"/>
      <w:pPr>
        <w:tabs>
          <w:tab w:val="left" w:leader="none" w:pos="2160"/>
        </w:tabs>
        <w:ind w:left="2160" w:hanging="360"/>
      </w:pPr>
    </w:lvl>
    <w:lvl w:ilvl="3">
      <w:start w:val="1"/>
      <w:numFmt w:val="decimal"/>
      <w:lvlText w:val="%4."/>
      <w:lvlJc w:val="left"/>
      <w:pPr>
        <w:tabs>
          <w:tab w:val="left" w:leader="none" w:pos="2880"/>
        </w:tabs>
        <w:ind w:left="2880" w:hanging="360"/>
      </w:pPr>
    </w:lvl>
    <w:lvl w:ilvl="4">
      <w:start w:val="1"/>
      <w:numFmt w:val="decimal"/>
      <w:lvlText w:val="%5."/>
      <w:lvlJc w:val="left"/>
      <w:pPr>
        <w:tabs>
          <w:tab w:val="left" w:leader="none" w:pos="3600"/>
        </w:tabs>
        <w:ind w:left="3600" w:hanging="360"/>
      </w:pPr>
    </w:lvl>
    <w:lvl w:ilvl="5">
      <w:start w:val="1"/>
      <w:numFmt w:val="decimal"/>
      <w:lvlText w:val="%6."/>
      <w:lvlJc w:val="left"/>
      <w:pPr>
        <w:tabs>
          <w:tab w:val="left" w:leader="none" w:pos="4320"/>
        </w:tabs>
        <w:ind w:left="4320" w:hanging="360"/>
      </w:pPr>
    </w:lvl>
    <w:lvl w:ilvl="6">
      <w:start w:val="1"/>
      <w:numFmt w:val="decimal"/>
      <w:lvlText w:val="%7."/>
      <w:lvlJc w:val="left"/>
      <w:pPr>
        <w:tabs>
          <w:tab w:val="left" w:leader="none" w:pos="5040"/>
        </w:tabs>
        <w:ind w:left="5040" w:hanging="360"/>
      </w:pPr>
    </w:lvl>
    <w:lvl w:ilvl="7">
      <w:start w:val="1"/>
      <w:numFmt w:val="decimal"/>
      <w:lvlText w:val="%8."/>
      <w:lvlJc w:val="left"/>
      <w:pPr>
        <w:tabs>
          <w:tab w:val="left" w:leader="none" w:pos="5760"/>
        </w:tabs>
        <w:ind w:left="5760" w:hanging="360"/>
      </w:pPr>
    </w:lvl>
    <w:lvl w:ilvl="8">
      <w:start w:val="1"/>
      <w:numFmt w:val="decimal"/>
      <w:lvlText w:val="%9."/>
      <w:lvlJc w:val="left"/>
      <w:pPr>
        <w:tabs>
          <w:tab w:val="left" w:leader="none"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496</Words>
  <Pages>5</Pages>
  <Characters>2484</Characters>
  <Application>WPS Office</Application>
  <DocSecurity>0</DocSecurity>
  <Paragraphs>47</Paragraphs>
  <ScaleCrop>false</ScaleCrop>
  <LinksUpToDate>false</LinksUpToDate>
  <CharactersWithSpaces>2970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2020-11-13T17:24:54Z</dcterms:created>
  <dc:creator>USER</dc:creator>
  <lastModifiedBy>SM-A515F</lastModifiedBy>
  <dcterms:modified xsi:type="dcterms:W3CDTF">2020-11-13T17:24:54Z</dcterms:modified>
  <revision>2</revision>
</coreProperties>
</file>

<file path=docProps/custom.xml><?xml version="1.0" encoding="utf-8"?>
<Properties xmlns="http://schemas.openxmlformats.org/officeDocument/2006/custom-properties" xmlns:vt="http://schemas.openxmlformats.org/officeDocument/2006/docPropsVTypes"/>
</file>